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394220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3942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394220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9422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394220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394220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394220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1A6D2A" w:rsidRPr="00394220">
        <w:rPr>
          <w:rFonts w:ascii="GHEA Grapalat" w:hAnsi="GHEA Grapalat"/>
          <w:sz w:val="20"/>
          <w:lang w:val="af-ZA"/>
        </w:rPr>
        <w:t>սննդամթերքի</w:t>
      </w:r>
      <w:r w:rsidR="00EF7944" w:rsidRPr="00394220">
        <w:rPr>
          <w:rFonts w:ascii="GHEA Grapalat" w:hAnsi="GHEA Grapalat"/>
          <w:sz w:val="20"/>
        </w:rPr>
        <w:t xml:space="preserve"> </w:t>
      </w:r>
      <w:r w:rsidRPr="00394220">
        <w:rPr>
          <w:rFonts w:ascii="GHEA Grapalat" w:hAnsi="GHEA Grapalat"/>
          <w:sz w:val="20"/>
          <w:lang w:val="af-ZA"/>
        </w:rPr>
        <w:t>ձեռքբերման</w:t>
      </w:r>
      <w:r w:rsidR="00D238E2" w:rsidRPr="00394220">
        <w:rPr>
          <w:rFonts w:ascii="GHEA Grapalat" w:hAnsi="GHEA Grapalat"/>
          <w:sz w:val="20"/>
          <w:lang w:val="af-ZA"/>
        </w:rPr>
        <w:t xml:space="preserve"> </w:t>
      </w:r>
      <w:r w:rsidRPr="00394220">
        <w:rPr>
          <w:rFonts w:ascii="GHEA Grapalat" w:hAnsi="GHEA Grapalat"/>
          <w:sz w:val="20"/>
          <w:lang w:val="af-ZA"/>
        </w:rPr>
        <w:t>նպատակով</w:t>
      </w:r>
      <w:r w:rsidR="00D238E2" w:rsidRPr="00394220">
        <w:rPr>
          <w:rFonts w:ascii="GHEA Grapalat" w:hAnsi="GHEA Grapalat"/>
          <w:sz w:val="20"/>
          <w:lang w:val="af-ZA"/>
        </w:rPr>
        <w:t xml:space="preserve"> </w:t>
      </w:r>
      <w:r w:rsidRPr="00394220">
        <w:rPr>
          <w:rFonts w:ascii="GHEA Grapalat" w:hAnsi="GHEA Grapalat"/>
          <w:sz w:val="20"/>
          <w:lang w:val="af-ZA"/>
        </w:rPr>
        <w:t>կազմակերպված</w:t>
      </w:r>
      <w:r w:rsidR="009E1771" w:rsidRPr="00394220">
        <w:rPr>
          <w:rFonts w:ascii="GHEA Grapalat" w:hAnsi="GHEA Grapalat"/>
          <w:sz w:val="20"/>
          <w:lang w:val="af-ZA"/>
        </w:rPr>
        <w:t xml:space="preserve"> «ՀՀ ՊՆ ՆՏԱԴ-</w:t>
      </w:r>
      <w:r w:rsidR="001A6D2A" w:rsidRPr="00394220">
        <w:rPr>
          <w:rFonts w:ascii="GHEA Grapalat" w:hAnsi="GHEA Grapalat"/>
          <w:sz w:val="20"/>
          <w:lang w:val="af-ZA"/>
        </w:rPr>
        <w:t>ԳՀԱՊՁԲ-20-7/15</w:t>
      </w:r>
      <w:r w:rsidR="009E1771" w:rsidRPr="00394220">
        <w:rPr>
          <w:rFonts w:ascii="GHEA Grapalat" w:hAnsi="GHEA Grapalat"/>
          <w:sz w:val="20"/>
          <w:lang w:val="af-ZA"/>
        </w:rPr>
        <w:t>»</w:t>
      </w:r>
      <w:r w:rsidR="008E68E5" w:rsidRPr="00394220">
        <w:rPr>
          <w:rFonts w:ascii="GHEA Grapalat" w:hAnsi="GHEA Grapalat"/>
          <w:sz w:val="20"/>
          <w:lang w:val="af-ZA"/>
        </w:rPr>
        <w:t xml:space="preserve"> </w:t>
      </w:r>
      <w:r w:rsidRPr="00394220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394220">
        <w:rPr>
          <w:rFonts w:ascii="GHEA Grapalat" w:hAnsi="GHEA Grapalat"/>
          <w:sz w:val="20"/>
          <w:lang w:val="af-ZA"/>
        </w:rPr>
        <w:t xml:space="preserve"> </w:t>
      </w:r>
      <w:r w:rsidRPr="00394220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94220">
        <w:rPr>
          <w:rFonts w:ascii="GHEA Grapalat" w:hAnsi="GHEA Grapalat"/>
          <w:sz w:val="20"/>
          <w:lang w:val="af-ZA"/>
        </w:rPr>
        <w:t>20</w:t>
      </w:r>
      <w:r w:rsidR="00A752F7" w:rsidRPr="00394220">
        <w:rPr>
          <w:rFonts w:ascii="GHEA Grapalat" w:hAnsi="GHEA Grapalat"/>
          <w:sz w:val="20"/>
          <w:lang w:val="af-ZA"/>
        </w:rPr>
        <w:t>20</w:t>
      </w:r>
      <w:r w:rsidRPr="00394220">
        <w:rPr>
          <w:rFonts w:ascii="GHEA Grapalat" w:hAnsi="GHEA Grapalat"/>
          <w:sz w:val="20"/>
          <w:lang w:val="af-ZA"/>
        </w:rPr>
        <w:t xml:space="preserve"> թվականի </w:t>
      </w:r>
      <w:r w:rsidR="00A752F7" w:rsidRPr="00394220">
        <w:rPr>
          <w:rFonts w:ascii="GHEA Grapalat" w:hAnsi="GHEA Grapalat"/>
          <w:sz w:val="20"/>
          <w:lang w:val="af-ZA"/>
        </w:rPr>
        <w:t>մարտի</w:t>
      </w:r>
      <w:r w:rsidR="003217D7" w:rsidRPr="00394220">
        <w:rPr>
          <w:rFonts w:ascii="GHEA Grapalat" w:hAnsi="GHEA Grapalat"/>
          <w:sz w:val="20"/>
          <w:lang w:val="af-ZA"/>
        </w:rPr>
        <w:t xml:space="preserve"> </w:t>
      </w:r>
      <w:r w:rsidR="003054BC" w:rsidRPr="00394220">
        <w:rPr>
          <w:rFonts w:ascii="GHEA Grapalat" w:hAnsi="GHEA Grapalat"/>
          <w:sz w:val="20"/>
          <w:lang w:val="af-ZA"/>
        </w:rPr>
        <w:t>27</w:t>
      </w:r>
      <w:r w:rsidRPr="00394220">
        <w:rPr>
          <w:rFonts w:ascii="GHEA Grapalat" w:hAnsi="GHEA Grapalat"/>
          <w:sz w:val="20"/>
          <w:lang w:val="af-ZA"/>
        </w:rPr>
        <w:t>-ի</w:t>
      </w:r>
      <w:r w:rsidRPr="00394220">
        <w:rPr>
          <w:rFonts w:ascii="GHEA Grapalat" w:hAnsi="GHEA Grapalat"/>
          <w:sz w:val="20"/>
          <w:lang w:val="hy-AM"/>
        </w:rPr>
        <w:t>ն</w:t>
      </w:r>
      <w:r w:rsidRPr="00394220">
        <w:rPr>
          <w:rFonts w:ascii="GHEA Grapalat" w:hAnsi="GHEA Grapalat" w:cs="Sylfaen"/>
          <w:sz w:val="20"/>
          <w:lang w:val="af-ZA"/>
        </w:rPr>
        <w:t xml:space="preserve"> կնքված </w:t>
      </w:r>
      <w:r w:rsidRPr="00394220">
        <w:rPr>
          <w:rFonts w:ascii="GHEA Grapalat" w:hAnsi="GHEA Grapalat"/>
          <w:sz w:val="20"/>
          <w:lang w:val="af-ZA"/>
        </w:rPr>
        <w:t xml:space="preserve">N </w:t>
      </w:r>
      <w:r w:rsidR="001A6D2A" w:rsidRPr="00394220">
        <w:rPr>
          <w:rFonts w:ascii="GHEA Grapalat" w:hAnsi="GHEA Grapalat"/>
          <w:sz w:val="20"/>
          <w:lang w:val="af-ZA"/>
        </w:rPr>
        <w:t>ԳՀԱՊՁԲ-20-7/15</w:t>
      </w:r>
      <w:r w:rsidRPr="00394220">
        <w:rPr>
          <w:rFonts w:ascii="GHEA Grapalat" w:hAnsi="GHEA Grapalat"/>
          <w:sz w:val="20"/>
          <w:lang w:val="af-ZA"/>
        </w:rPr>
        <w:t>-1</w:t>
      </w:r>
      <w:r w:rsidR="008E68E5" w:rsidRPr="00394220">
        <w:rPr>
          <w:rFonts w:ascii="GHEA Grapalat" w:hAnsi="GHEA Grapalat"/>
          <w:sz w:val="20"/>
          <w:lang w:val="af-ZA"/>
        </w:rPr>
        <w:t xml:space="preserve"> </w:t>
      </w:r>
      <w:r w:rsidRPr="0039422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47"/>
        <w:gridCol w:w="142"/>
        <w:gridCol w:w="284"/>
        <w:gridCol w:w="133"/>
        <w:gridCol w:w="280"/>
        <w:gridCol w:w="425"/>
        <w:gridCol w:w="17"/>
        <w:gridCol w:w="77"/>
        <w:gridCol w:w="65"/>
        <w:gridCol w:w="254"/>
        <w:gridCol w:w="296"/>
        <w:gridCol w:w="152"/>
        <w:gridCol w:w="148"/>
        <w:gridCol w:w="149"/>
        <w:gridCol w:w="401"/>
        <w:gridCol w:w="426"/>
        <w:gridCol w:w="10"/>
        <w:gridCol w:w="148"/>
        <w:gridCol w:w="278"/>
        <w:gridCol w:w="272"/>
        <w:gridCol w:w="193"/>
        <w:gridCol w:w="235"/>
        <w:gridCol w:w="140"/>
        <w:gridCol w:w="16"/>
        <w:gridCol w:w="411"/>
        <w:gridCol w:w="425"/>
        <w:gridCol w:w="285"/>
        <w:gridCol w:w="6"/>
        <w:gridCol w:w="47"/>
        <w:gridCol w:w="21"/>
        <w:gridCol w:w="207"/>
        <w:gridCol w:w="340"/>
        <w:gridCol w:w="154"/>
        <w:gridCol w:w="289"/>
        <w:gridCol w:w="68"/>
        <w:gridCol w:w="112"/>
        <w:gridCol w:w="29"/>
        <w:gridCol w:w="275"/>
        <w:gridCol w:w="309"/>
        <w:gridCol w:w="125"/>
        <w:gridCol w:w="141"/>
        <w:gridCol w:w="574"/>
        <w:gridCol w:w="146"/>
        <w:gridCol w:w="431"/>
        <w:gridCol w:w="267"/>
        <w:gridCol w:w="177"/>
        <w:gridCol w:w="553"/>
      </w:tblGrid>
      <w:tr w:rsidR="00394220" w:rsidRPr="00394220" w:rsidTr="007E17FA">
        <w:trPr>
          <w:trHeight w:val="146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39422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3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39422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39422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394220" w:rsidRPr="00394220" w:rsidTr="007E17FA">
        <w:trPr>
          <w:trHeight w:val="110"/>
          <w:jc w:val="center"/>
        </w:trPr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394220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394220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4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39422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394220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39422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39422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394220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394220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394220" w:rsidRPr="00394220" w:rsidTr="007E17FA">
        <w:trPr>
          <w:trHeight w:val="175"/>
          <w:jc w:val="center"/>
        </w:trPr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275"/>
          <w:jc w:val="center"/>
        </w:trPr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39422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ցորենաձավար /Ցորենաձավար/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16295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16295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2815776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2815776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A6D2A" w:rsidRPr="00394220" w:rsidRDefault="001A6D2A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Ցորենաձավար՝ ԳՕՍՏ 276-60-ին համապատասխան, ստացված ցորենի թեփահան հատիկների հղկմամբ, կամ կոտրատմամբ, ցորենի հատիկները լինում են հղկված ծայրերով կամ հղկված կլոր հատիկների ձևով, խոնավությունը 14%-ից ոչ ավելի, բարորակ հատիկները 99.2%-ից ոչ պակաս, աղբային խառնուկները 0,3%-ից ոչ ավելի, այդ թվում հանքային խառնուկներ 0.05% ոչ ավելի, վնասակար խառնուկներ 0.05% ոչ ավելի, պատրաստված բարձր և առաջին տեսակի ցորենից, մինչև 50կգ պոլիէթիլենային պարկերով: Պիտանելիության մնացորդային ժամկետը մատակարարման պահին ոչ պակաս, քան 70%,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both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ոլոռ /Ոլոռ/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27316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27316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5957619.6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D2A" w:rsidRPr="00394220" w:rsidRDefault="001A6D2A" w:rsidP="001A6D2A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5957619.6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A6D2A" w:rsidRPr="00394220" w:rsidRDefault="001A6D2A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Ոսպ 1-ին տիպի 1-ին դասի, ԳՕՍՏ 13213-77, մուգ կանաչ գույնի, չափավորված՝ միջին չափի: Համասեռ, մաքուր, չոր, խոնավությունը` 15.5%-ից ոչ ավելի, մինչև 50կգ-ոց պոլիէթիլենային պարկերով, պիտանելիության մնացորդային ժամկետը մատակարարման պահին ոչ պակաս, քան 70%, պիտանելիության ժամկետը արտադրման օրվանից ոչ պակաս 18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A6D2A" w:rsidRPr="00394220" w:rsidRDefault="001A6D2A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3F3" w:rsidRPr="00394220" w:rsidRDefault="006153F3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3F3" w:rsidRPr="00394220" w:rsidRDefault="006153F3" w:rsidP="001A6D2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մակարոն /Մակարոնեղեն/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3F3" w:rsidRPr="00394220" w:rsidRDefault="006153F3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3F3" w:rsidRPr="00394220" w:rsidRDefault="006153F3" w:rsidP="006153F3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3F3" w:rsidRPr="00394220" w:rsidRDefault="006153F3" w:rsidP="006153F3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3F3" w:rsidRPr="00394220" w:rsidRDefault="006153F3" w:rsidP="006153F3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3F3" w:rsidRPr="00394220" w:rsidRDefault="006153F3" w:rsidP="006153F3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153F3" w:rsidRPr="00394220" w:rsidRDefault="006153F3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 xml:space="preserve">Մակարոնեղեն անդրոժ խմորից, ԳՕՍՏ 31743-2012: Ա Խմբի, պինդ (կարծր) ցորենի  բարձր տեսակի ալյուրից, խոնավությունը ոչ բարձր 13%, թթվայնությունը 4 աստիճանից ոչ բարձր: Արտադրությունը միայն վակուումային հաստոցներով (25%` խողողակաձև, 25%` վերմիշել, 25%` </w:t>
            </w:r>
            <w:r w:rsidRPr="00394220">
              <w:rPr>
                <w:rFonts w:ascii="GHEA Grapalat" w:hAnsi="GHEA Grapalat"/>
                <w:sz w:val="12"/>
                <w:szCs w:val="16"/>
              </w:rPr>
              <w:lastRenderedPageBreak/>
              <w:t>խխունջաձև, 25%` զսպանակաձև): Փաթեթավորումը 5կգ-ոց պոլիէթիլենային հերմետիկ թաղանթով 2հատ, տեղադրված ստվարաթղթե ամուր 10 կգ-ոց արկղերում` հնգաշերտ ծալքավոր:  Պիտանելիության մնացորդային ժամկետը մատակարարման պահին ոչ պակաս քան  90%: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153F3" w:rsidRPr="00394220" w:rsidRDefault="006153F3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մակարոն /Մակարոնեղեն/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Մակարոնեղեն անդրոժ խմորից, ԳՕՍՏ 31743-2012: Ա Խմբի, պինդ (կարծր) ցորենի  բարձր տեսակի ալյուրից, խոնավությունը ոչ բարձր 13%, թթվայնությունը 4 աստիճանից ոչ բարձր: Արտադրությունը միայն վակուումային հաստոցներով (25%` խողողակաձև, 25%` վերմիշել, 25%` խխունջաձև, 25%` զսպանակաձև): Փաթեթավորումը 5կգ-ոց պոլիէթիլենային հերմետիկ թաղանթով 2հատ, տեղադրված ստվարաթղթե ամուր 10 կգ-ոց արկղերում` հնգաշերտ ծալքավոր:  Պիտանելիության մնացորդային ժամկետը մատակարարման պահին ոչ պակաս քան  90%: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մակարոն /Մակարոնեղեն/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Մակարոնեղեն անդրոժ խմորից, ԳՕՍՏ 31743-2012: Ա Խմբի, պինդ (կարծր) ցորենի  բարձր տեսակի ալյուրից, խոնավությունը ոչ բարձր 13%, թթվայնությունը 4 աստիճանից ոչ բարձր: Արտադրությունը միայն վակուումային հաստոցներով (25%` խողողակաձև, 25%` վերմիշել, 25%` խխունջաձև, 25%` զսպանակաձև): Փաթեթավորումը 5կգ-ոց պոլիէթիլենային հերմետիկ թաղանթով 2հատ, տեղադրված ստվարաթղթե ամուր 10 կգ-ոց արկղերում` հնգաշերտ ծալքավոր:  Պիտանելիության մնացորդային ժամկետը մատակարարման պահին ոչ պակաս քան  90%: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6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մակարոն /Մակարոնեղեն/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24221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6028122.48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Մակարոնեղեն անդրոժ խմորից, ԳՕՍՏ 31743-2012: Ա Խմբի, պինդ (կարծր) ցորենի  բարձր տեսակի ալյուրից, խոնավությունը ոչ բարձր 13%, թթվայնությունը 4 աստիճանից ոչ բարձր: Արտադրությունը միայն վակուումային հաստոցներով (25%` խողողակաձև, 25%` վերմիշել, 25%` խխունջաձև, 25%` զսպանակաձև): Փաթեթավորումը 5կգ-ոց պոլիէթիլենային հերմետիկ թաղանթով 2հատ, տեղադրված ստվարաթղթե ամուր 10 կգ-ոց արկղերում` հնգաշերտ ծալքավոր:  Պիտանելիության մնացորդային ժամկետը մատակարարման պահին ոչ պակաս քան  90%: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մակարոն /Մակարոնեղեն/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24222.9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24222.9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6028595.35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6028595.35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Մակարոնեղեն անդրոժ խմորից, ԳՕՍՏ 31743-2012: Ա Խմբի, պինդ (կարծր) ցորենի  բարձր տեսակի ալյուրից, խոնավությունը ոչ բարձր 13%, թթվայնությունը 4 աստիճանից ոչ բարձր: Արտադրությունը միայն վակուումային հաստոցներով (25%` խողողակաձև, 25%` վերմիշել, 25%` խխունջաձև, 25%` զսպանակաձև): Փաթեթավորումը 5կգ-ոց պոլիէթիլենային հերմետիկ թաղանթով 2հատ, տեղադրված ստվարաթղթե ամուր 10 կգ-ոց արկղերում` հնգաշերտ ծալքավոր:  Պիտանելիության մնացորդային ժամկետը մատակարարման պահին ոչ պակաս քան  90%: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համեմունքներ /Պղպեղ կարմիր/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523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523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831570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831570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Պղպեղ կարմիր` աղացած, ԳՕՍՏ 29053-91: Թույլ կծու, մինչև 25կգ-ոց պոլիէթիլենային պարկերում: Պիտանելիության ժամկետը արտադրման օրվանից ոչ պակաս 12 ամիս: Պիտանելիության մնացորդային ժամկետը մատակարարման պահին ոչ պակաս, քան 70%: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Պղպեղ կարմիր` աղացած, ԳՕՍՏ 29053-91: Թույլ կծու, մինչև 25կգ-ոց պոլիէթիլենային պարկերում: Պիտանելիության ժամկետը արտադրման օրվանից ոչ պակաս 12 ամիս: Պիտանելիության մնացորդային ժամկետը մատակարարման պահին ոչ պակաս, քան 70%: Անվտանգությունը և մակնշումը ՄՄ ՏԿ N 021/2011 և 022/2011, &lt;&lt;Սննդամթերքի անվտանգության մասին&gt;&gt; ՀՀ օրենքի 9-րդ հոդվածի:</w:t>
            </w: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գարի /Գարի/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13176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13176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1976400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1976400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 xml:space="preserve">Գարի` 2-րդ տեսակի, ԳՕՍՏ 28672-90: Գույնը` բնորոշ առողջ հատիկին, </w:t>
            </w:r>
            <w:r w:rsidRPr="00394220">
              <w:rPr>
                <w:rFonts w:ascii="GHEA Grapalat" w:hAnsi="GHEA Grapalat"/>
                <w:sz w:val="12"/>
                <w:szCs w:val="16"/>
              </w:rPr>
              <w:lastRenderedPageBreak/>
              <w:t>թույլատրվում է մգեցվածությամբ: Խոնավությունը` 19%-ից ոչ ավելի, աղբային խառնուկները 8%-ից ոչ ավելի: Վնասատուներով վարակվածությունը` չի թույլատրվում բացառությամբ 1-ին կարգի տզերով վարակվածությամբ: Փաթեթավորումը` մինչև 50կգ պոլիէթիլենային պարկերով:</w:t>
            </w:r>
            <w:r w:rsidRPr="00394220">
              <w:rPr>
                <w:rFonts w:ascii="GHEA Grapalat" w:hAnsi="GHEA Grapalat"/>
                <w:sz w:val="12"/>
                <w:szCs w:val="16"/>
              </w:rPr>
              <w:br/>
              <w:t>Պիտանելիության մնացորդային ժամկետը մատակարարման պահին ոչ պակաս, քան 70%,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10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թթվասեր /Թթվասեր/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4297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4297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5371250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5371250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Թթվասեր 20% յուղայնությամբ, ԳՕՍՏ 31452-2012, կովի թարմ կաթից ստացված սերուցքից կամ դրա փոշուց, թթվայնությունը` 65-100</w:t>
            </w:r>
            <w:r w:rsidRPr="00394220">
              <w:rPr>
                <w:rFonts w:ascii="GHEA Grapalat" w:hAnsi="GHEA Grapalat"/>
                <w:sz w:val="12"/>
                <w:szCs w:val="16"/>
                <w:vertAlign w:val="superscript"/>
              </w:rPr>
              <w:t>0</w:t>
            </w:r>
            <w:r w:rsidRPr="00394220">
              <w:rPr>
                <w:rFonts w:ascii="GHEA Grapalat" w:hAnsi="GHEA Grapalat"/>
                <w:sz w:val="12"/>
                <w:szCs w:val="16"/>
              </w:rPr>
              <w:t>T: Մինչև 5 կգ-ոց սննդային պոլիմերային հերմետիկ փակված տուփերով: Պիտանելիության ժամկետը արտադրման օրվանից 6-7 օր: Պիտանելիության մնացորդային ժամկետը մատակարարման պահին 100%: Անվտանգությունը և մակնշումը ՄՄ ՏԿ N 021/2011, 033/2013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D10E1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կաթնաշոռ դասական /Կաթնաշոռ/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1A6D2A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4427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394220">
              <w:rPr>
                <w:rFonts w:ascii="GHEA Grapalat" w:hAnsi="GHEA Grapalat"/>
                <w:sz w:val="12"/>
                <w:szCs w:val="18"/>
              </w:rPr>
              <w:t>4427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8854000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6F6" w:rsidRPr="00394220" w:rsidRDefault="00A346F6" w:rsidP="00A346F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8854000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346F6" w:rsidRPr="00394220" w:rsidRDefault="00A346F6" w:rsidP="00D10E1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394220">
              <w:rPr>
                <w:rFonts w:ascii="GHEA Grapalat" w:hAnsi="GHEA Grapalat"/>
                <w:sz w:val="12"/>
                <w:szCs w:val="16"/>
              </w:rPr>
              <w:t>Կաթնաշոռ 9% յուղայնությամբ, ԳՕՍՏ 31453-2013, թարմ և յուղազերծված կաթից կամ դրա փոշուց, թթվայնությունը` 220</w:t>
            </w:r>
            <w:r w:rsidRPr="00394220">
              <w:rPr>
                <w:rFonts w:ascii="GHEA Grapalat" w:hAnsi="GHEA Grapalat"/>
                <w:sz w:val="12"/>
                <w:szCs w:val="16"/>
                <w:vertAlign w:val="superscript"/>
              </w:rPr>
              <w:t>0</w:t>
            </w:r>
            <w:r w:rsidRPr="00394220">
              <w:rPr>
                <w:rFonts w:ascii="GHEA Grapalat" w:hAnsi="GHEA Grapalat"/>
                <w:sz w:val="12"/>
                <w:szCs w:val="16"/>
              </w:rPr>
              <w:t>T-ից ոչ ավել, մինչև 5 կգ-ոց սննդային պոլիմերային հերմետիկ փակված տուփերով: Պիտանելիության ժամկետը արտադրման օրվանից 6-7 օր: Պիտանելիության մնացորդային ժամկետը մատակարարման պահին 100%: Անվտանգությունը և մակնշումը ՄՄ ՏԿ N 021/2011, 033/2013 և 022/2011, &lt;&lt;Սննդամթերքի անվտանգության մասին&gt;&gt; ՀՀ օրենքի 9-րդ հոդվածի: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394220" w:rsidRPr="00394220" w:rsidTr="00C535B6">
        <w:trPr>
          <w:trHeight w:val="265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137"/>
          <w:jc w:val="center"/>
        </w:trPr>
        <w:tc>
          <w:tcPr>
            <w:tcW w:w="42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6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0E02B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394220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394220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394220">
              <w:rPr>
                <w:rFonts w:ascii="GHEA Grapalat" w:hAnsi="GHEA Grapalat"/>
                <w:sz w:val="12"/>
                <w:szCs w:val="12"/>
              </w:rPr>
              <w:t xml:space="preserve"> ՀՀ օրենքի 22-րդ հոդված (գնման գինը չի գերազանցում գնումների բազային միավորի յոթանասունապատիկը):</w:t>
            </w:r>
          </w:p>
        </w:tc>
      </w:tr>
      <w:tr w:rsidR="00394220" w:rsidRPr="00394220" w:rsidTr="00C535B6">
        <w:trPr>
          <w:trHeight w:val="345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EF7944">
        <w:trPr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39422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4220" w:rsidRPr="00394220" w:rsidTr="007E17FA">
        <w:trPr>
          <w:jc w:val="center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394220" w:rsidRPr="00394220" w:rsidTr="007E17FA">
        <w:trPr>
          <w:trHeight w:val="65"/>
          <w:jc w:val="center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6F6" w:rsidRPr="00394220" w:rsidRDefault="00A346F6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5B470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394220" w:rsidRPr="00394220" w:rsidTr="00EF7944">
        <w:trPr>
          <w:trHeight w:val="65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E10C2F" w:rsidP="00E10C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Times Armenian"/>
                <w:sz w:val="12"/>
                <w:szCs w:val="12"/>
                <w:lang w:val="es-ES"/>
              </w:rPr>
              <w:t>Ապրանքներ</w:t>
            </w:r>
            <w:r w:rsidR="00A346F6" w:rsidRPr="00394220">
              <w:rPr>
                <w:rFonts w:ascii="GHEA Grapalat" w:hAnsi="GHEA Grapalat" w:cs="Times Armenian"/>
                <w:sz w:val="12"/>
                <w:szCs w:val="12"/>
                <w:lang w:val="es-ES"/>
              </w:rPr>
              <w:t>ը ներառված են ՀՀ կառ. 26.12.19թ. N 1919-Ն որոշման մեջ:</w:t>
            </w:r>
          </w:p>
        </w:tc>
      </w:tr>
      <w:tr w:rsidR="00394220" w:rsidRPr="00394220" w:rsidTr="00EF7944">
        <w:trPr>
          <w:trHeight w:val="43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6F6" w:rsidRPr="00394220" w:rsidRDefault="00A346F6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155"/>
          <w:jc w:val="center"/>
        </w:trPr>
        <w:tc>
          <w:tcPr>
            <w:tcW w:w="66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39422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394220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39422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6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346F6" w:rsidRPr="00394220" w:rsidRDefault="00E10C2F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03.03</w:t>
            </w:r>
            <w:r w:rsidR="00A346F6" w:rsidRPr="00394220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394220" w:rsidRPr="00394220" w:rsidTr="007E17FA">
        <w:trPr>
          <w:trHeight w:val="67"/>
          <w:jc w:val="center"/>
        </w:trPr>
        <w:tc>
          <w:tcPr>
            <w:tcW w:w="66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65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394220" w:rsidRPr="00394220" w:rsidTr="007E17FA">
        <w:trPr>
          <w:trHeight w:val="47"/>
          <w:jc w:val="center"/>
        </w:trPr>
        <w:tc>
          <w:tcPr>
            <w:tcW w:w="664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394220" w:rsidRPr="00394220" w:rsidTr="007E17FA">
        <w:trPr>
          <w:trHeight w:val="129"/>
          <w:jc w:val="center"/>
        </w:trPr>
        <w:tc>
          <w:tcPr>
            <w:tcW w:w="664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65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46F6" w:rsidRPr="00394220" w:rsidRDefault="00A346F6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Հրավերի վերաբերյալ պարզաբանման հարցումներ չեն եղել:</w:t>
            </w:r>
          </w:p>
        </w:tc>
      </w:tr>
      <w:tr w:rsidR="00394220" w:rsidRPr="00394220" w:rsidTr="00EF7944">
        <w:trPr>
          <w:trHeight w:val="121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Հ/Հ</w:t>
            </w:r>
          </w:p>
        </w:tc>
        <w:tc>
          <w:tcPr>
            <w:tcW w:w="256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394220" w:rsidRPr="00394220" w:rsidTr="007E17FA">
        <w:trPr>
          <w:trHeight w:val="213"/>
          <w:jc w:val="center"/>
        </w:trPr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6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394220" w:rsidRPr="00394220" w:rsidTr="007E17FA">
        <w:trPr>
          <w:trHeight w:val="137"/>
          <w:jc w:val="center"/>
        </w:trPr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6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394220" w:rsidRPr="00394220" w:rsidTr="007E17FA">
        <w:trPr>
          <w:trHeight w:val="137"/>
          <w:jc w:val="center"/>
        </w:trPr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6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94220" w:rsidRPr="00394220" w:rsidTr="00EF7944">
        <w:trPr>
          <w:trHeight w:val="83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6F6" w:rsidRPr="00394220" w:rsidRDefault="00A346F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</w:tr>
      <w:tr w:rsidR="00394220" w:rsidRPr="00394220" w:rsidTr="007E17FA">
        <w:trPr>
          <w:trHeight w:val="83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3B" w:rsidRPr="00394220" w:rsidRDefault="00172C3B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6528A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«ՍԻՍԱԿԱՆԻ ՀԱՍԿ»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172C3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2715724.70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2715724.70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C3B" w:rsidRPr="00394220" w:rsidRDefault="00172C3B" w:rsidP="00172C3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543144.94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C3B" w:rsidRPr="00394220" w:rsidRDefault="00172C3B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543144.94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3258869.64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3258869.64</w:t>
            </w:r>
          </w:p>
        </w:tc>
      </w:tr>
      <w:tr w:rsidR="00394220" w:rsidRPr="00394220" w:rsidTr="007E17FA">
        <w:trPr>
          <w:trHeight w:val="83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6528A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«Լորեդո»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6528A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3980000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6528A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3980000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C3B" w:rsidRPr="00394220" w:rsidRDefault="00172C3B" w:rsidP="00A752F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C3B" w:rsidRPr="00394220" w:rsidRDefault="00172C3B" w:rsidP="00A752F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3980000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3980000</w:t>
            </w:r>
          </w:p>
        </w:tc>
      </w:tr>
      <w:tr w:rsidR="00394220" w:rsidRPr="00394220" w:rsidTr="00735E2E">
        <w:trPr>
          <w:trHeight w:val="83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Չափաբաժին 2</w:t>
            </w:r>
          </w:p>
        </w:tc>
      </w:tr>
      <w:tr w:rsidR="00394220" w:rsidRPr="00394220" w:rsidTr="007E17FA">
        <w:trPr>
          <w:trHeight w:val="83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«Լորեդո»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7760000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7760000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C3B" w:rsidRPr="00394220" w:rsidRDefault="00172C3B" w:rsidP="00A752F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C3B" w:rsidRPr="00394220" w:rsidRDefault="00172C3B" w:rsidP="00A752F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7760000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3B" w:rsidRPr="00394220" w:rsidRDefault="00172C3B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7760000</w:t>
            </w:r>
          </w:p>
        </w:tc>
      </w:tr>
      <w:tr w:rsidR="00394220" w:rsidRPr="00394220" w:rsidTr="00BC7D17">
        <w:trPr>
          <w:trHeight w:val="83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764" w:rsidRPr="00394220" w:rsidRDefault="00F83764" w:rsidP="00D10E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Չափաբաժին 8</w:t>
            </w:r>
          </w:p>
        </w:tc>
      </w:tr>
      <w:tr w:rsidR="00394220" w:rsidRPr="00394220" w:rsidTr="007E17FA">
        <w:trPr>
          <w:trHeight w:val="83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F8376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«Իվենթսենթր»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A752F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588375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588375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820" w:rsidRPr="00394220" w:rsidRDefault="00356820" w:rsidP="00A752F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117675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820" w:rsidRPr="00394220" w:rsidRDefault="00356820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117675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706050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706050</w:t>
            </w:r>
          </w:p>
        </w:tc>
      </w:tr>
      <w:tr w:rsidR="00394220" w:rsidRPr="00394220" w:rsidTr="007E17FA">
        <w:trPr>
          <w:trHeight w:val="83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F8376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«Լորեդո»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1230000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1230000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1230000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1230000</w:t>
            </w:r>
          </w:p>
        </w:tc>
      </w:tr>
      <w:tr w:rsidR="00394220" w:rsidRPr="00394220" w:rsidTr="00DE047E">
        <w:trPr>
          <w:trHeight w:val="83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10E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Չափաբաժին 9</w:t>
            </w:r>
          </w:p>
        </w:tc>
      </w:tr>
      <w:tr w:rsidR="00394220" w:rsidRPr="00394220" w:rsidTr="007E17FA">
        <w:trPr>
          <w:trHeight w:val="83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F8376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«Լորեդո»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2000000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2000000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widowControl w:val="0"/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2000000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2000000</w:t>
            </w:r>
          </w:p>
        </w:tc>
      </w:tr>
      <w:tr w:rsidR="00394220" w:rsidRPr="00394220" w:rsidTr="007E17FA">
        <w:trPr>
          <w:trHeight w:val="83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F8376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«ՍԻՍԱԿԱՆԻ ՀԱՍԿ»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1866380.40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1866380.40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373276.08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568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373276.08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2239656.48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10E1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394220">
              <w:rPr>
                <w:rFonts w:ascii="GHEA Grapalat" w:hAnsi="GHEA Grapalat" w:cs="Calibri"/>
                <w:sz w:val="12"/>
                <w:szCs w:val="14"/>
              </w:rPr>
              <w:t>2239656.48</w:t>
            </w:r>
          </w:p>
        </w:tc>
      </w:tr>
      <w:tr w:rsidR="00394220" w:rsidRPr="00394220" w:rsidTr="007E17FA">
        <w:trPr>
          <w:trHeight w:val="95"/>
          <w:jc w:val="center"/>
        </w:trPr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81438C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6"/>
                <w:lang w:val="es-ES"/>
              </w:rPr>
              <w:t xml:space="preserve">Քանի որ «ՀՀ ՊՆ ՆՏԱԴ-ԳՀԱՊՁԲ-20-7/15» ծակագրով գնման ընթացակարգի 2-րդ չափաբաժնին մասնակցել է մեկ մասնակից, որի </w:t>
            </w:r>
            <w:r w:rsidRPr="00394220">
              <w:rPr>
                <w:rFonts w:ascii="GHEA Grapalat" w:hAnsi="GHEA Grapalat"/>
                <w:sz w:val="12"/>
                <w:szCs w:val="16"/>
              </w:rPr>
              <w:t xml:space="preserve">ներկայացրած հայտը համապատասխանում է հրավերի պահանջներին, </w:t>
            </w:r>
            <w:r w:rsidRPr="00394220">
              <w:rPr>
                <w:rFonts w:ascii="GHEA Grapalat" w:hAnsi="GHEA Grapalat"/>
                <w:sz w:val="12"/>
                <w:szCs w:val="16"/>
                <w:lang w:val="es-ES"/>
              </w:rPr>
              <w:t>ընթացակարգի 1-ին, 2-րդ և 9-րդ չափաբաժիններին</w:t>
            </w:r>
            <w:r w:rsidRPr="00394220">
              <w:rPr>
                <w:rFonts w:ascii="GHEA Grapalat" w:hAnsi="GHEA Grapalat"/>
                <w:sz w:val="12"/>
                <w:szCs w:val="16"/>
              </w:rPr>
              <w:t xml:space="preserve"> ոչ գնային պայմանները բավարարող գնահատված հայտեր ներկայացրած բոլոր մասնակիցների ներկայացրած գնային առաջարկները գերազանցում են տվյալ ընթացակարգի շրջանակում գնվելիք ապրանքների գնման հայտով սահմանված գինը, </w:t>
            </w:r>
            <w:r w:rsidRPr="00394220">
              <w:rPr>
                <w:rFonts w:ascii="GHEA Grapalat" w:hAnsi="GHEA Grapalat"/>
                <w:sz w:val="12"/>
                <w:szCs w:val="16"/>
                <w:lang w:val="es-ES"/>
              </w:rPr>
              <w:t>ուստի գնահատող հանձնաժողովը, առաջնորդվելով «Գնումների մասին» ՀՀ օրենքի 38-րդ հոդվածի 1-ին մասի 1-ին կետով և «Գնումների գործընթացի կազմակերպման» կարգի 40-րդ կետով, 13.03.2020թ. մասնակիցներին ծանուցել է, որ գների նվազեցման նպատակով 17.03.2020թ. ժամը 10:15-ին ՀՀ ՊՆ ՆՏԱԴ ԳՓՁ վարչության նիստերի դահլիճում (ք. Երևան, Բագրևանդի 5) կվարվեն բանակցություններ: Բանակցություններին ոչ ոք չի ներկայացել:</w:t>
            </w:r>
          </w:p>
        </w:tc>
      </w:tr>
      <w:tr w:rsidR="00394220" w:rsidRPr="00394220" w:rsidTr="00EF7944">
        <w:trPr>
          <w:trHeight w:val="40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EF7944">
        <w:trPr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39422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394220" w:rsidRPr="00394220" w:rsidTr="007E17FA">
        <w:trPr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09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394220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394220" w:rsidRPr="00394220" w:rsidTr="007E17FA">
        <w:trPr>
          <w:jc w:val="center"/>
        </w:trPr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394220" w:rsidRPr="00394220" w:rsidTr="007E17FA">
        <w:trPr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E31AF0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1-11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E31AF0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909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22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2" w:type="dxa"/>
            <w:gridSpan w:val="4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AE3B4F" w:rsidP="00AE3B4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«ԷՅԷՅԷՖՓԻՍԻ» ՍՊԸ-ն ներկայացված հայտին փաստաթղթեր չի կցել, ուստի գնահատող հանձնաժողովը հնարավորություն չի ունեցել գնահատելու «ԷՅԷՅԷՖՓԻՍԻ» ՍՊԸ-ի հայտը և մերժել է այն:</w:t>
            </w:r>
          </w:p>
        </w:tc>
      </w:tr>
      <w:tr w:rsidR="00394220" w:rsidRPr="00394220" w:rsidTr="00EF7944">
        <w:trPr>
          <w:trHeight w:val="40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5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57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5B470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17.03.2020թ.</w:t>
            </w:r>
          </w:p>
        </w:tc>
      </w:tr>
      <w:tr w:rsidR="00394220" w:rsidRPr="00394220" w:rsidTr="007E17FA">
        <w:trPr>
          <w:trHeight w:val="92"/>
          <w:jc w:val="center"/>
        </w:trPr>
        <w:tc>
          <w:tcPr>
            <w:tcW w:w="51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394220" w:rsidRPr="00394220" w:rsidTr="007E17FA">
        <w:trPr>
          <w:trHeight w:val="103"/>
          <w:jc w:val="center"/>
        </w:trPr>
        <w:tc>
          <w:tcPr>
            <w:tcW w:w="512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6820" w:rsidRPr="00394220" w:rsidRDefault="00356820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19.03.2020թ.</w:t>
            </w:r>
          </w:p>
        </w:tc>
        <w:tc>
          <w:tcPr>
            <w:tcW w:w="272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D10E1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23.03.2020թ.</w:t>
            </w:r>
          </w:p>
        </w:tc>
      </w:tr>
      <w:tr w:rsidR="00394220" w:rsidRPr="00394220" w:rsidTr="007E17FA">
        <w:trPr>
          <w:trHeight w:val="127"/>
          <w:jc w:val="center"/>
        </w:trPr>
        <w:tc>
          <w:tcPr>
            <w:tcW w:w="5126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83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5B470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24.03.2020թ.</w:t>
            </w:r>
          </w:p>
        </w:tc>
      </w:tr>
      <w:tr w:rsidR="00394220" w:rsidRPr="00394220" w:rsidTr="007E17FA">
        <w:trPr>
          <w:trHeight w:val="88"/>
          <w:jc w:val="center"/>
        </w:trPr>
        <w:tc>
          <w:tcPr>
            <w:tcW w:w="5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83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054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2</w:t>
            </w:r>
            <w:r w:rsidR="003054BC" w:rsidRPr="00394220">
              <w:rPr>
                <w:rFonts w:ascii="GHEA Grapalat" w:hAnsi="GHEA Grapalat"/>
                <w:sz w:val="12"/>
                <w:szCs w:val="12"/>
              </w:rPr>
              <w:t>6</w:t>
            </w:r>
            <w:r w:rsidRPr="00394220">
              <w:rPr>
                <w:rFonts w:ascii="GHEA Grapalat" w:hAnsi="GHEA Grapalat"/>
                <w:sz w:val="12"/>
                <w:szCs w:val="12"/>
              </w:rPr>
              <w:t>.03.2020թ.</w:t>
            </w:r>
          </w:p>
        </w:tc>
      </w:tr>
      <w:tr w:rsidR="00394220" w:rsidRPr="00394220" w:rsidTr="007E17FA">
        <w:trPr>
          <w:trHeight w:val="87"/>
          <w:jc w:val="center"/>
        </w:trPr>
        <w:tc>
          <w:tcPr>
            <w:tcW w:w="5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83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497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2</w:t>
            </w:r>
            <w:r w:rsidR="004971C5" w:rsidRPr="00394220">
              <w:rPr>
                <w:rFonts w:ascii="GHEA Grapalat" w:hAnsi="GHEA Grapalat"/>
                <w:sz w:val="12"/>
                <w:szCs w:val="12"/>
              </w:rPr>
              <w:t>7</w:t>
            </w:r>
            <w:r w:rsidRPr="00394220">
              <w:rPr>
                <w:rFonts w:ascii="GHEA Grapalat" w:hAnsi="GHEA Grapalat"/>
                <w:sz w:val="12"/>
                <w:szCs w:val="12"/>
              </w:rPr>
              <w:t>.03.2020թ.</w:t>
            </w:r>
          </w:p>
        </w:tc>
      </w:tr>
      <w:tr w:rsidR="00394220" w:rsidRPr="00394220" w:rsidTr="00EF7944">
        <w:trPr>
          <w:trHeight w:val="40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394220" w:rsidRPr="00394220" w:rsidTr="0044065B">
        <w:trPr>
          <w:jc w:val="center"/>
        </w:trPr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6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394220" w:rsidRPr="00394220" w:rsidTr="0044065B">
        <w:trPr>
          <w:trHeight w:val="43"/>
          <w:jc w:val="center"/>
        </w:trPr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3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394220" w:rsidRPr="00394220" w:rsidTr="0044065B">
        <w:trPr>
          <w:trHeight w:val="43"/>
          <w:jc w:val="center"/>
        </w:trPr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394220" w:rsidRPr="00394220" w:rsidTr="0044065B">
        <w:trPr>
          <w:trHeight w:val="43"/>
          <w:jc w:val="center"/>
        </w:trPr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1C5" w:rsidRPr="00394220" w:rsidRDefault="004971C5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1C5" w:rsidRPr="00394220" w:rsidRDefault="004971C5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«Իվենթսենթր»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1C5" w:rsidRPr="00394220" w:rsidRDefault="004971C5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ԳՀԱՊՁԲ-20-7/15-1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1C5" w:rsidRPr="00394220" w:rsidRDefault="004971C5" w:rsidP="00D571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27.03.2020թ.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1C5" w:rsidRPr="00394220" w:rsidRDefault="004971C5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1C5" w:rsidRPr="00394220" w:rsidRDefault="004971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1C5" w:rsidRPr="00394220" w:rsidRDefault="004971C5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706050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1C5" w:rsidRPr="00394220" w:rsidRDefault="004971C5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706050</w:t>
            </w:r>
          </w:p>
        </w:tc>
      </w:tr>
      <w:tr w:rsidR="00394220" w:rsidRPr="00394220" w:rsidTr="00EF7944">
        <w:trPr>
          <w:trHeight w:val="150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Ընտրված մասնակցի</w:t>
            </w:r>
            <w:r w:rsidRPr="0039422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r w:rsidRPr="0039422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39422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r w:rsidRPr="00394220">
              <w:rPr>
                <w:rFonts w:ascii="GHEA Grapalat" w:hAnsi="GHEA Grapalat"/>
                <w:b/>
                <w:sz w:val="12"/>
                <w:szCs w:val="12"/>
              </w:rPr>
              <w:t>անվանումը և հասցեն</w:t>
            </w:r>
          </w:p>
        </w:tc>
      </w:tr>
      <w:tr w:rsidR="00394220" w:rsidRPr="00394220" w:rsidTr="0044065B">
        <w:trPr>
          <w:trHeight w:val="125"/>
          <w:jc w:val="center"/>
        </w:trPr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394220" w:rsidRPr="00394220" w:rsidTr="0044065B">
        <w:trPr>
          <w:trHeight w:val="155"/>
          <w:jc w:val="center"/>
        </w:trPr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7FA" w:rsidRPr="00394220" w:rsidRDefault="007E17FA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2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7FA" w:rsidRPr="00394220" w:rsidRDefault="007E17FA" w:rsidP="00D10E1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«Իվենթսենթր» ՍՊԸ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7FA" w:rsidRPr="00394220" w:rsidRDefault="003054BC" w:rsidP="006D34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ՀՀ, ք. Երևան, Գրիբոյեդով 60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7FA" w:rsidRPr="00394220" w:rsidRDefault="007E17FA" w:rsidP="007E17F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zakup@ import.ru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4BC" w:rsidRPr="00394220" w:rsidRDefault="003054BC" w:rsidP="003054B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«Ինեկոբանկ» ՓԲԸ</w:t>
            </w:r>
          </w:p>
          <w:p w:rsidR="007E17FA" w:rsidRPr="00394220" w:rsidRDefault="003054BC" w:rsidP="003054B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Հ/Հ 2052822111971001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17FA" w:rsidRPr="00394220" w:rsidRDefault="007E17FA" w:rsidP="007E17F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94220">
              <w:rPr>
                <w:rFonts w:ascii="GHEA Grapalat" w:hAnsi="GHEA Grapalat"/>
                <w:sz w:val="12"/>
                <w:szCs w:val="12"/>
              </w:rPr>
              <w:t>ՀՎՀՀ 00197995</w:t>
            </w:r>
          </w:p>
        </w:tc>
      </w:tr>
      <w:tr w:rsidR="00394220" w:rsidRPr="00394220" w:rsidTr="00EF7944">
        <w:trPr>
          <w:trHeight w:val="147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2F013A">
        <w:trPr>
          <w:trHeight w:val="107"/>
          <w:jc w:val="center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50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2F013A" w:rsidP="00A146E7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94220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Գնահատող հանձնաժողովը որոշեց </w:t>
            </w:r>
            <w:r w:rsidRPr="00394220">
              <w:rPr>
                <w:rFonts w:ascii="GHEA Grapalat" w:hAnsi="GHEA Grapalat" w:cs="Sylfaen"/>
                <w:sz w:val="12"/>
                <w:szCs w:val="16"/>
              </w:rPr>
              <w:t xml:space="preserve">ընթացակարգը 3-րդ, 4-րդ, 5-րդ, 6-րդ, 7-րդ, 10-րդ և 11-րդ չափաբաժինների մասով հայտարարել չկայացած՝ հիմք ընդունելով </w:t>
            </w:r>
            <w:r w:rsidRPr="00394220">
              <w:rPr>
                <w:rFonts w:ascii="GHEA Grapalat" w:hAnsi="GHEA Grapalat"/>
                <w:sz w:val="12"/>
                <w:szCs w:val="16"/>
                <w:lang w:val="es-ES"/>
              </w:rPr>
              <w:t xml:space="preserve">«Գնումների մասին» ՀՀ օրենքի 37-րդ հոդվածի 1-ին մասի 3-րդ կետը (ոչ մի </w:t>
            </w:r>
            <w:r w:rsidR="00A146E7" w:rsidRPr="00394220">
              <w:rPr>
                <w:rFonts w:ascii="GHEA Grapalat" w:hAnsi="GHEA Grapalat"/>
                <w:sz w:val="12"/>
                <w:szCs w:val="16"/>
                <w:lang w:val="es-ES"/>
              </w:rPr>
              <w:t xml:space="preserve">հայտ չի ներկայացվել), իսկ 1-ին, </w:t>
            </w:r>
            <w:r w:rsidRPr="00394220">
              <w:rPr>
                <w:rFonts w:ascii="GHEA Grapalat" w:hAnsi="GHEA Grapalat"/>
                <w:sz w:val="12"/>
                <w:szCs w:val="16"/>
                <w:lang w:val="es-ES"/>
              </w:rPr>
              <w:t xml:space="preserve">2-րդ և 9-րդ </w:t>
            </w:r>
            <w:r w:rsidRPr="00394220">
              <w:rPr>
                <w:rFonts w:ascii="GHEA Grapalat" w:hAnsi="GHEA Grapalat" w:cs="Sylfaen"/>
                <w:sz w:val="12"/>
                <w:szCs w:val="16"/>
              </w:rPr>
              <w:t xml:space="preserve">չափաբաժինների մասով հայտարարել չկայացած՝ հիմք ընդունելով </w:t>
            </w:r>
            <w:r w:rsidRPr="00394220">
              <w:rPr>
                <w:rFonts w:ascii="GHEA Grapalat" w:hAnsi="GHEA Grapalat"/>
                <w:sz w:val="12"/>
                <w:szCs w:val="16"/>
                <w:lang w:val="es-ES"/>
              </w:rPr>
              <w:t xml:space="preserve">«Գնումների մասին» ՀՀ օրենքի 37-րդ հոդվածի 1-ին մասի   </w:t>
            </w:r>
            <w:r w:rsidRPr="00394220">
              <w:rPr>
                <w:rFonts w:ascii="GHEA Grapalat" w:hAnsi="GHEA Grapalat" w:cs="Sylfaen"/>
                <w:sz w:val="12"/>
                <w:szCs w:val="16"/>
              </w:rPr>
              <w:t>1-ին կետը (հայտերից ոչ մեկը չի համապատասխանում հրավերի պայմաններին):</w:t>
            </w:r>
          </w:p>
        </w:tc>
      </w:tr>
      <w:tr w:rsidR="00394220" w:rsidRPr="00394220" w:rsidTr="00EF7944">
        <w:trPr>
          <w:trHeight w:val="40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159"/>
          <w:jc w:val="center"/>
        </w:trPr>
        <w:tc>
          <w:tcPr>
            <w:tcW w:w="536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6820" w:rsidRPr="00394220" w:rsidRDefault="00356820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4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820" w:rsidRPr="00394220" w:rsidRDefault="00356820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394220" w:rsidRPr="00394220" w:rsidTr="00EF7944">
        <w:trPr>
          <w:trHeight w:val="40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40"/>
          <w:jc w:val="center"/>
        </w:trPr>
        <w:tc>
          <w:tcPr>
            <w:tcW w:w="5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394220" w:rsidRPr="00394220" w:rsidTr="00EF7944">
        <w:trPr>
          <w:trHeight w:val="98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95"/>
          <w:jc w:val="center"/>
        </w:trPr>
        <w:tc>
          <w:tcPr>
            <w:tcW w:w="66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42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4220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394220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394220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394220" w:rsidRPr="00394220" w:rsidTr="00EF7944">
        <w:trPr>
          <w:trHeight w:val="40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7E17FA">
        <w:trPr>
          <w:trHeight w:val="147"/>
          <w:jc w:val="center"/>
        </w:trPr>
        <w:tc>
          <w:tcPr>
            <w:tcW w:w="26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5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F70D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394220" w:rsidRPr="00394220" w:rsidTr="00EF7944">
        <w:trPr>
          <w:trHeight w:val="69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820" w:rsidRPr="00394220" w:rsidRDefault="0035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94220" w:rsidRPr="00394220" w:rsidTr="00EF7944">
        <w:trPr>
          <w:trHeight w:val="227"/>
          <w:jc w:val="center"/>
        </w:trPr>
        <w:tc>
          <w:tcPr>
            <w:tcW w:w="10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9422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4220" w:rsidRPr="00394220" w:rsidTr="007E17FA">
        <w:trPr>
          <w:trHeight w:val="47"/>
          <w:jc w:val="center"/>
        </w:trPr>
        <w:tc>
          <w:tcPr>
            <w:tcW w:w="3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4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394220" w:rsidRPr="00394220" w:rsidTr="007E17FA">
        <w:trPr>
          <w:trHeight w:val="47"/>
          <w:jc w:val="center"/>
        </w:trPr>
        <w:tc>
          <w:tcPr>
            <w:tcW w:w="3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820" w:rsidRPr="00394220" w:rsidRDefault="00356820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820" w:rsidRPr="00394220" w:rsidRDefault="00356820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394220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394220" w:rsidRDefault="005624D9" w:rsidP="00C74290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394220">
        <w:rPr>
          <w:rFonts w:ascii="GHEA Grapalat" w:hAnsi="GHEA Grapalat" w:cs="Sylfaen"/>
          <w:b/>
          <w:sz w:val="20"/>
          <w:lang w:val="af-ZA"/>
        </w:rPr>
        <w:t>Պատվիրատու</w:t>
      </w:r>
      <w:r w:rsidRPr="00394220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bookmarkEnd w:id="0"/>
    <w:p w:rsidR="000E02B2" w:rsidRPr="00394220" w:rsidRDefault="000E02B2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0E02B2" w:rsidRPr="00394220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43669"/>
    <w:rsid w:val="000B5A82"/>
    <w:rsid w:val="000C35A6"/>
    <w:rsid w:val="000C7E38"/>
    <w:rsid w:val="000E02B2"/>
    <w:rsid w:val="000F44B0"/>
    <w:rsid w:val="001144E9"/>
    <w:rsid w:val="00122E3F"/>
    <w:rsid w:val="00171DA3"/>
    <w:rsid w:val="00172C3B"/>
    <w:rsid w:val="001765A5"/>
    <w:rsid w:val="001A6D2A"/>
    <w:rsid w:val="001C5EE0"/>
    <w:rsid w:val="001C7499"/>
    <w:rsid w:val="001D794B"/>
    <w:rsid w:val="001E3CF6"/>
    <w:rsid w:val="001E6988"/>
    <w:rsid w:val="001F5F1E"/>
    <w:rsid w:val="00227B0E"/>
    <w:rsid w:val="0023055E"/>
    <w:rsid w:val="002F013A"/>
    <w:rsid w:val="00305085"/>
    <w:rsid w:val="003054BC"/>
    <w:rsid w:val="00317CE4"/>
    <w:rsid w:val="003217D7"/>
    <w:rsid w:val="003544DA"/>
    <w:rsid w:val="00354F79"/>
    <w:rsid w:val="00356820"/>
    <w:rsid w:val="003874D3"/>
    <w:rsid w:val="00394220"/>
    <w:rsid w:val="003A0108"/>
    <w:rsid w:val="003A4C0E"/>
    <w:rsid w:val="003E589E"/>
    <w:rsid w:val="00421675"/>
    <w:rsid w:val="0044065B"/>
    <w:rsid w:val="00457DD2"/>
    <w:rsid w:val="004971C5"/>
    <w:rsid w:val="004B2B6A"/>
    <w:rsid w:val="00520980"/>
    <w:rsid w:val="00536D7B"/>
    <w:rsid w:val="005624D9"/>
    <w:rsid w:val="006153F3"/>
    <w:rsid w:val="006276A9"/>
    <w:rsid w:val="006411FC"/>
    <w:rsid w:val="00651BF1"/>
    <w:rsid w:val="006528A1"/>
    <w:rsid w:val="00661DD2"/>
    <w:rsid w:val="00686BC7"/>
    <w:rsid w:val="00695618"/>
    <w:rsid w:val="006A7D24"/>
    <w:rsid w:val="006D3423"/>
    <w:rsid w:val="007305A9"/>
    <w:rsid w:val="00742F12"/>
    <w:rsid w:val="00764123"/>
    <w:rsid w:val="007A1249"/>
    <w:rsid w:val="007E17FA"/>
    <w:rsid w:val="007E520C"/>
    <w:rsid w:val="007F4D3A"/>
    <w:rsid w:val="0081438C"/>
    <w:rsid w:val="00822481"/>
    <w:rsid w:val="008303E3"/>
    <w:rsid w:val="0083386E"/>
    <w:rsid w:val="00880E6C"/>
    <w:rsid w:val="00885465"/>
    <w:rsid w:val="008E68E5"/>
    <w:rsid w:val="00961D6E"/>
    <w:rsid w:val="00965CAE"/>
    <w:rsid w:val="0096660D"/>
    <w:rsid w:val="009B5D4B"/>
    <w:rsid w:val="009C6870"/>
    <w:rsid w:val="009E1771"/>
    <w:rsid w:val="009E3D9E"/>
    <w:rsid w:val="00A10DED"/>
    <w:rsid w:val="00A146E7"/>
    <w:rsid w:val="00A346F6"/>
    <w:rsid w:val="00A752F7"/>
    <w:rsid w:val="00AA6340"/>
    <w:rsid w:val="00AB1248"/>
    <w:rsid w:val="00AE3B4F"/>
    <w:rsid w:val="00BE7AC1"/>
    <w:rsid w:val="00C012B4"/>
    <w:rsid w:val="00C014FF"/>
    <w:rsid w:val="00C535B6"/>
    <w:rsid w:val="00C74290"/>
    <w:rsid w:val="00CB4740"/>
    <w:rsid w:val="00CB56E9"/>
    <w:rsid w:val="00CF43F5"/>
    <w:rsid w:val="00D1496A"/>
    <w:rsid w:val="00D15265"/>
    <w:rsid w:val="00D238E2"/>
    <w:rsid w:val="00D527CC"/>
    <w:rsid w:val="00D55BD3"/>
    <w:rsid w:val="00D85B60"/>
    <w:rsid w:val="00DA2F07"/>
    <w:rsid w:val="00DD24E2"/>
    <w:rsid w:val="00DD3C6A"/>
    <w:rsid w:val="00E10C2F"/>
    <w:rsid w:val="00E300E2"/>
    <w:rsid w:val="00E31AF0"/>
    <w:rsid w:val="00E56190"/>
    <w:rsid w:val="00E8252A"/>
    <w:rsid w:val="00EB1F56"/>
    <w:rsid w:val="00ED027A"/>
    <w:rsid w:val="00EF7944"/>
    <w:rsid w:val="00F307F7"/>
    <w:rsid w:val="00F5655C"/>
    <w:rsid w:val="00F64A4F"/>
    <w:rsid w:val="00F70D8D"/>
    <w:rsid w:val="00F83764"/>
    <w:rsid w:val="00FA6B66"/>
    <w:rsid w:val="00FD46EB"/>
    <w:rsid w:val="00FD5CDE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107</cp:revision>
  <cp:lastPrinted>2020-03-30T09:51:00Z</cp:lastPrinted>
  <dcterms:created xsi:type="dcterms:W3CDTF">2018-03-23T18:48:00Z</dcterms:created>
  <dcterms:modified xsi:type="dcterms:W3CDTF">2020-03-30T09:51:00Z</dcterms:modified>
</cp:coreProperties>
</file>